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82F9" w14:textId="77777777" w:rsidR="003A4C88" w:rsidRPr="0046565C" w:rsidRDefault="00000000">
      <w:pPr>
        <w:pStyle w:val="1"/>
        <w:rPr>
          <w:sz w:val="20"/>
          <w:szCs w:val="20"/>
        </w:rPr>
      </w:pPr>
      <w:r w:rsidRPr="0046565C">
        <w:rPr>
          <w:sz w:val="20"/>
          <w:szCs w:val="20"/>
        </w:rPr>
        <w:t xml:space="preserve">СОГЛАШЕНИЕ </w:t>
      </w:r>
    </w:p>
    <w:p w14:paraId="410B5B3B" w14:textId="77777777" w:rsidR="003A4C88" w:rsidRPr="0046565C" w:rsidRDefault="00000000">
      <w:pPr>
        <w:pStyle w:val="2"/>
        <w:rPr>
          <w:sz w:val="20"/>
          <w:szCs w:val="20"/>
        </w:rPr>
      </w:pPr>
      <w:r w:rsidRPr="0046565C">
        <w:rPr>
          <w:sz w:val="20"/>
          <w:szCs w:val="20"/>
        </w:rPr>
        <w:t xml:space="preserve">ОБ ИНФОРМАЦИОННОМ ОБМЕНЕ </w:t>
      </w:r>
    </w:p>
    <w:p w14:paraId="6BB7B8ED" w14:textId="77777777" w:rsidR="003A4C88" w:rsidRPr="0046565C" w:rsidRDefault="00000000">
      <w:pPr>
        <w:pStyle w:val="2"/>
        <w:rPr>
          <w:sz w:val="20"/>
          <w:szCs w:val="20"/>
        </w:rPr>
      </w:pPr>
      <w:r w:rsidRPr="0046565C">
        <w:rPr>
          <w:sz w:val="20"/>
          <w:szCs w:val="20"/>
        </w:rPr>
        <w:t xml:space="preserve">И О СОБЛЮДЕНИИ КОНФИДЕНЦИАЛЬНОСТИ ИНФОРМАЦИИ </w:t>
      </w:r>
    </w:p>
    <w:p w14:paraId="023E5BC8" w14:textId="77777777" w:rsidR="003A4C88" w:rsidRPr="0046565C" w:rsidRDefault="003A4C88">
      <w:pPr>
        <w:jc w:val="center"/>
      </w:pPr>
    </w:p>
    <w:p w14:paraId="2D53A88D" w14:textId="77777777" w:rsidR="003A4C88" w:rsidRPr="0046565C" w:rsidRDefault="00000000">
      <w:pPr>
        <w:jc w:val="center"/>
      </w:pPr>
      <w:r w:rsidRPr="0046565C">
        <w:t>г. Москва                                                                          «</w:t>
      </w:r>
      <w:r w:rsidRPr="0046565C">
        <w:rPr>
          <w:u w:val="single"/>
        </w:rPr>
        <w:t xml:space="preserve">    </w:t>
      </w:r>
      <w:r w:rsidRPr="0046565C">
        <w:t xml:space="preserve">» </w:t>
      </w:r>
      <w:r w:rsidRPr="0046565C">
        <w:rPr>
          <w:u w:val="single"/>
        </w:rPr>
        <w:t xml:space="preserve">                      </w:t>
      </w:r>
      <w:r w:rsidRPr="0046565C">
        <w:t>20__г.</w:t>
      </w:r>
    </w:p>
    <w:p w14:paraId="1FF47F30" w14:textId="2F097E93" w:rsidR="0046565C" w:rsidRPr="0046565C" w:rsidRDefault="0046565C" w:rsidP="0046565C">
      <w:pPr>
        <w:ind w:firstLine="709"/>
        <w:jc w:val="both"/>
        <w:rPr>
          <w:bCs/>
        </w:rPr>
      </w:pPr>
      <w:bookmarkStart w:id="0" w:name="_gjdgxs" w:colFirst="0" w:colLast="0"/>
      <w:bookmarkEnd w:id="0"/>
      <w:r w:rsidRPr="0046565C">
        <w:rPr>
          <w:bCs/>
        </w:rPr>
        <w:t xml:space="preserve">Акционерное общество «ГенТерра», именуемое в дальнейшем </w:t>
      </w:r>
      <w:r w:rsidR="008264C7" w:rsidRPr="0046565C">
        <w:t>Раскрывающая сторона</w:t>
      </w:r>
      <w:r w:rsidRPr="0046565C">
        <w:rPr>
          <w:bCs/>
        </w:rPr>
        <w:t>, в лице генерального директора Середы Константина Николаевича, действующего на основании Устава, с одной стороны, и</w:t>
      </w:r>
    </w:p>
    <w:p w14:paraId="31E216B0" w14:textId="64BD1C32" w:rsidR="003A4C88" w:rsidRPr="0046565C" w:rsidRDefault="00B862D8" w:rsidP="0046565C">
      <w:pPr>
        <w:ind w:firstLine="709"/>
        <w:jc w:val="both"/>
      </w:pPr>
      <w:r>
        <w:rPr>
          <w:bCs/>
        </w:rPr>
        <w:t>_________________</w:t>
      </w:r>
      <w:r w:rsidR="0046565C" w:rsidRPr="0046565C">
        <w:rPr>
          <w:bCs/>
        </w:rPr>
        <w:t xml:space="preserve"> «</w:t>
      </w:r>
      <w:r w:rsidR="00164DAD" w:rsidRPr="00164DAD">
        <w:rPr>
          <w:bCs/>
        </w:rPr>
        <w:t>________________</w:t>
      </w:r>
      <w:r w:rsidR="0046565C" w:rsidRPr="0046565C">
        <w:rPr>
          <w:bCs/>
        </w:rPr>
        <w:t>»,</w:t>
      </w:r>
      <w:r>
        <w:rPr>
          <w:bCs/>
        </w:rPr>
        <w:t xml:space="preserve"> именуемое в дальнейшем Принимающая сторона, </w:t>
      </w:r>
      <w:r w:rsidR="0046565C" w:rsidRPr="0046565C">
        <w:rPr>
          <w:bCs/>
        </w:rPr>
        <w:t>в лице</w:t>
      </w:r>
      <w:r w:rsidR="00164DAD" w:rsidRPr="00164DAD">
        <w:rPr>
          <w:bCs/>
        </w:rPr>
        <w:t>__________________</w:t>
      </w:r>
      <w:r w:rsidR="0046565C" w:rsidRPr="0046565C">
        <w:rPr>
          <w:bCs/>
        </w:rPr>
        <w:t xml:space="preserve"> действующего на основании </w:t>
      </w:r>
      <w:r>
        <w:rPr>
          <w:bCs/>
        </w:rPr>
        <w:t>_________</w:t>
      </w:r>
      <w:r w:rsidR="0046565C" w:rsidRPr="0046565C">
        <w:rPr>
          <w:bCs/>
        </w:rPr>
        <w:t>, далее совместно именуемые «Стороны»</w:t>
      </w:r>
      <w:r w:rsidR="0046565C" w:rsidRPr="0046565C">
        <w:rPr>
          <w:bCs/>
          <w:color w:val="000000"/>
        </w:rPr>
        <w:t>,</w:t>
      </w:r>
      <w:r w:rsidR="0046565C" w:rsidRPr="0046565C">
        <w:rPr>
          <w:color w:val="000000"/>
        </w:rPr>
        <w:t xml:space="preserve"> а по отдельности «Сторона», </w:t>
      </w:r>
      <w:r w:rsidR="0046565C" w:rsidRPr="0046565C">
        <w:t>заключили настоящее Соглашение (далее – Соглашение) о нижеследующем:</w:t>
      </w:r>
    </w:p>
    <w:p w14:paraId="498D3946" w14:textId="77777777" w:rsidR="003A4C88" w:rsidRPr="0046565C" w:rsidRDefault="00000000">
      <w:pPr>
        <w:numPr>
          <w:ilvl w:val="0"/>
          <w:numId w:val="1"/>
        </w:numPr>
        <w:spacing w:before="240"/>
        <w:ind w:left="1066" w:hanging="357"/>
        <w:jc w:val="both"/>
      </w:pPr>
      <w:r w:rsidRPr="0046565C">
        <w:t>ОПРЕДЕЛЕНИЯ.</w:t>
      </w:r>
    </w:p>
    <w:p w14:paraId="49DB1C61" w14:textId="77777777" w:rsidR="003A4C88" w:rsidRPr="0046565C" w:rsidRDefault="00000000">
      <w:pPr>
        <w:numPr>
          <w:ilvl w:val="1"/>
          <w:numId w:val="2"/>
        </w:numPr>
        <w:tabs>
          <w:tab w:val="left" w:pos="1276"/>
        </w:tabs>
        <w:spacing w:before="80"/>
        <w:ind w:left="0" w:firstLine="709"/>
        <w:jc w:val="both"/>
      </w:pPr>
      <w:r w:rsidRPr="0046565C">
        <w:t>Раскрывающая сторона - Сторона, передающая информацию.</w:t>
      </w:r>
    </w:p>
    <w:p w14:paraId="75DC88EE" w14:textId="77777777" w:rsidR="003A4C88" w:rsidRPr="0046565C" w:rsidRDefault="00000000">
      <w:pPr>
        <w:numPr>
          <w:ilvl w:val="1"/>
          <w:numId w:val="2"/>
        </w:numPr>
        <w:tabs>
          <w:tab w:val="left" w:pos="1276"/>
        </w:tabs>
        <w:spacing w:before="80"/>
        <w:ind w:left="0" w:firstLine="709"/>
        <w:jc w:val="both"/>
      </w:pPr>
      <w:r w:rsidRPr="0046565C">
        <w:t>Принимающая сторона - Сторона, получающая информацию.</w:t>
      </w:r>
    </w:p>
    <w:p w14:paraId="287E0E8B" w14:textId="77777777" w:rsidR="003A4C88" w:rsidRPr="0046565C" w:rsidRDefault="00000000">
      <w:pPr>
        <w:numPr>
          <w:ilvl w:val="1"/>
          <w:numId w:val="2"/>
        </w:numPr>
        <w:tabs>
          <w:tab w:val="left" w:pos="142"/>
          <w:tab w:val="left" w:pos="1134"/>
        </w:tabs>
        <w:spacing w:before="80"/>
        <w:ind w:left="0" w:firstLine="709"/>
        <w:jc w:val="both"/>
      </w:pPr>
      <w:r w:rsidRPr="0046565C">
        <w:t xml:space="preserve"> Представители – работники (руководитель, должностное лицо, сотрудник), а также аудиторы Принимающей стороны, уполномоченные Принимающей стороной на доступ к Конфиденциальной информации,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имеющие обязательство о неразглашении Конфиденциальной информации и уведомленные о факте заключения настоящего Соглашения.</w:t>
      </w:r>
    </w:p>
    <w:p w14:paraId="0700BC8C" w14:textId="77777777" w:rsidR="003A4C88" w:rsidRPr="0046565C" w:rsidRDefault="00000000">
      <w:pPr>
        <w:tabs>
          <w:tab w:val="left" w:pos="0"/>
          <w:tab w:val="left" w:pos="142"/>
          <w:tab w:val="left" w:pos="1134"/>
        </w:tabs>
        <w:spacing w:before="80"/>
        <w:ind w:firstLine="709"/>
        <w:jc w:val="both"/>
      </w:pPr>
      <w:r w:rsidRPr="0046565C">
        <w:t>1.4. В рамках настоящего Соглашения каждая из Сторон может одновременно выступать в качестве Раскрывающей стороны в отношении передаваемой ею информации и Принимающей стороны в отношении получаемой ею информации</w:t>
      </w:r>
    </w:p>
    <w:p w14:paraId="424DF65D" w14:textId="77777777" w:rsidR="003A4C88" w:rsidRPr="0046565C" w:rsidRDefault="00000000">
      <w:pPr>
        <w:spacing w:before="120"/>
        <w:ind w:firstLine="708"/>
        <w:jc w:val="both"/>
      </w:pPr>
      <w:r w:rsidRPr="0046565C">
        <w:t xml:space="preserve">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устном, электронном или любом другом виде и относящаяся к хозяйственно-коммерческой деятельности или техническим возможностям Сторон, к изделиям, услугам, фактическим и аналитическим данным, заключениям и иным сведениям, а также персональные данные работников Сторон, элементы новейших технических решений (ноу-хау), включая, но не ограничиваясь этим, заметки, документация и переписка, при условии, что Раскрывающая Сторона письменно или путем проставления на материальном носителе соответствующего грифа ограничения доступа («Коммерческая тайна» или «Конфиденциально») укажет на то, что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 </w:t>
      </w:r>
    </w:p>
    <w:p w14:paraId="43F12DC5" w14:textId="77777777" w:rsidR="003A4C88" w:rsidRPr="0046565C" w:rsidRDefault="00000000">
      <w:pPr>
        <w:spacing w:before="120"/>
        <w:ind w:firstLine="708"/>
        <w:jc w:val="both"/>
      </w:pPr>
      <w:r w:rsidRPr="0046565C">
        <w:t>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p w14:paraId="1675AC32" w14:textId="77777777" w:rsidR="003A4C88" w:rsidRPr="0046565C" w:rsidRDefault="00000000">
      <w:pPr>
        <w:spacing w:before="80"/>
        <w:ind w:firstLine="709"/>
        <w:jc w:val="both"/>
      </w:pPr>
      <w:r w:rsidRPr="0046565C">
        <w:t>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p w14:paraId="3B5BB489" w14:textId="77777777" w:rsidR="003A4C88" w:rsidRPr="0046565C" w:rsidRDefault="00000000">
      <w:pPr>
        <w:keepNext/>
        <w:spacing w:before="240"/>
        <w:ind w:firstLine="709"/>
        <w:jc w:val="both"/>
      </w:pPr>
      <w:r w:rsidRPr="0046565C">
        <w:t>2. ПРЕДМЕТ СОГЛАШЕНИЯ.</w:t>
      </w:r>
    </w:p>
    <w:p w14:paraId="4829B25A" w14:textId="77777777" w:rsidR="003A4C88" w:rsidRPr="0046565C" w:rsidRDefault="00000000">
      <w:pPr>
        <w:spacing w:before="80"/>
        <w:ind w:firstLine="709"/>
        <w:jc w:val="both"/>
      </w:pPr>
      <w:r w:rsidRPr="0046565C">
        <w:t>2.1. Стороны обязуются обеспечивать сохранение в тайне Конфиденциальной информации в порядке на условиях, предусмотренных в Соглашении.</w:t>
      </w:r>
    </w:p>
    <w:p w14:paraId="02AC0496" w14:textId="77777777" w:rsidR="003A4C88" w:rsidRPr="0046565C" w:rsidRDefault="00000000">
      <w:pPr>
        <w:keepNext/>
        <w:tabs>
          <w:tab w:val="left" w:pos="1134"/>
        </w:tabs>
        <w:spacing w:before="240"/>
        <w:ind w:firstLine="709"/>
        <w:jc w:val="both"/>
      </w:pPr>
      <w:r w:rsidRPr="0046565C">
        <w:t>3. ОБЯЗАТЕЛЬСТВА СТОРОН ПО СОХРАНЕНИЮ КОНФИДЕНЦИАЛЬНОЙ ИНФОРМАЦИИ</w:t>
      </w:r>
    </w:p>
    <w:p w14:paraId="1C389276" w14:textId="77777777" w:rsidR="003A4C88" w:rsidRPr="0046565C" w:rsidRDefault="00000000">
      <w:pPr>
        <w:tabs>
          <w:tab w:val="left" w:pos="-426"/>
          <w:tab w:val="left" w:pos="426"/>
          <w:tab w:val="left" w:pos="1134"/>
        </w:tabs>
        <w:spacing w:before="80"/>
        <w:ind w:firstLine="709"/>
        <w:jc w:val="both"/>
      </w:pPr>
      <w:r w:rsidRPr="0046565C">
        <w:t>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либо когда возможность такого раскрытия предоставлена Раскрывающей стороной</w:t>
      </w:r>
    </w:p>
    <w:p w14:paraId="4157738A"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3.2.</w:t>
      </w:r>
      <w:r w:rsidRPr="0046565C">
        <w:rPr>
          <w:color w:val="000000"/>
        </w:rPr>
        <w:tab/>
        <w:t>Информация, запрашиваемая уполномоченными на то государственными органами в пределах их компетенции, может быть предоставлена им только тогда, когда обязанность по ее раскрытию прямо установлена нормативным правовым актом и при условии, что Принимающая сторона до направления ответа на запрос обязана уведомить Раскрывающую сторону о поступившем запросе.</w:t>
      </w:r>
    </w:p>
    <w:p w14:paraId="52F8483A"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Уведомление о запросе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представить информацию, а также характеристики затребованной информации.</w:t>
      </w:r>
    </w:p>
    <w:p w14:paraId="19F7C3C5"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 xml:space="preserve">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меры, используемые для обеспечения безопасности такого рода информации. В любом случае принимаемые меры не должны быть ниже, чем </w:t>
      </w:r>
      <w:r w:rsidRPr="0046565C">
        <w:rPr>
          <w:color w:val="000000"/>
        </w:rPr>
        <w:lastRenderedPageBreak/>
        <w:t>меры, соответствующие требованиям нормативных документов Принимающей стороны по защите Конфиденциальной информации.</w:t>
      </w:r>
    </w:p>
    <w:p w14:paraId="511E2938" w14:textId="77777777" w:rsidR="003A4C88" w:rsidRPr="0046565C" w:rsidRDefault="00000000">
      <w:pPr>
        <w:spacing w:before="80"/>
        <w:ind w:firstLine="709"/>
        <w:jc w:val="both"/>
      </w:pPr>
      <w:r w:rsidRPr="0046565C">
        <w:t>3.4. При условии выполнения требований п. 3.2 настоящей статьи Соглашения Принимающая сторона не должна нести ответственность за раскрытие Конфиденциальной информации в следующих случаях:</w:t>
      </w:r>
    </w:p>
    <w:p w14:paraId="0D201C38" w14:textId="77777777" w:rsidR="003A4C88" w:rsidRPr="0046565C" w:rsidRDefault="00000000">
      <w:pPr>
        <w:spacing w:before="80"/>
        <w:ind w:firstLine="708"/>
        <w:jc w:val="both"/>
      </w:pPr>
      <w:r w:rsidRPr="0046565C">
        <w:t>а) если раскрытие Конфиденциальной информации произошло при наличии предварительного согласия Раскрывающей стороны, оформленного в письменном виде;</w:t>
      </w:r>
    </w:p>
    <w:p w14:paraId="23E73FC7" w14:textId="77777777" w:rsidR="003A4C88" w:rsidRPr="0046565C" w:rsidRDefault="00000000">
      <w:pPr>
        <w:spacing w:before="80"/>
        <w:ind w:firstLine="709"/>
        <w:jc w:val="both"/>
      </w:pPr>
      <w:r w:rsidRPr="0046565C">
        <w:t>б) если раскрытие Конфиденциальной информации произошло в соответствии с актом органа государственной власти, органа местного самоуправления или суда с учетом положений п.3.1 настоящего Соглашения.</w:t>
      </w:r>
    </w:p>
    <w:p w14:paraId="798667F1" w14:textId="77777777" w:rsidR="003A4C88" w:rsidRPr="0046565C" w:rsidRDefault="00000000">
      <w:pPr>
        <w:spacing w:before="80"/>
        <w:ind w:firstLine="709"/>
        <w:jc w:val="both"/>
      </w:pPr>
      <w:r w:rsidRPr="0046565C">
        <w:t>3.4.1. Принимающая сторона обязана незамедлительно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344E80A9" w14:textId="77777777" w:rsidR="003A4C88" w:rsidRPr="0046565C" w:rsidRDefault="00000000">
      <w:pPr>
        <w:spacing w:before="80"/>
        <w:ind w:firstLine="709"/>
        <w:jc w:val="both"/>
      </w:pPr>
      <w:r w:rsidRPr="0046565C">
        <w:t>3.5. Принимающая сторона гарантирует, что она, в соответствии с условиями настоящего Соглашения, будет:</w:t>
      </w:r>
    </w:p>
    <w:p w14:paraId="42AAB3D4" w14:textId="77777777" w:rsidR="003A4C88" w:rsidRPr="0046565C" w:rsidRDefault="00000000">
      <w:pPr>
        <w:spacing w:before="80"/>
        <w:ind w:firstLine="709"/>
        <w:jc w:val="both"/>
      </w:pPr>
      <w:r w:rsidRPr="0046565C">
        <w:t>а) раскрывать Конфиденциальную информацию только своим Представителям, указанным в п. 1.3 настоящего Соглашения. Раскрытие Конфиденциальной информации третьим лицам возможно только на условиях, определенных в п. 3.1 настоящего Соглашения;</w:t>
      </w:r>
    </w:p>
    <w:p w14:paraId="29C19D17" w14:textId="77777777" w:rsidR="003A4C88" w:rsidRPr="0046565C" w:rsidRDefault="00000000">
      <w:pPr>
        <w:spacing w:before="80"/>
        <w:ind w:firstLine="709"/>
        <w:jc w:val="both"/>
      </w:pPr>
      <w:r w:rsidRPr="0046565C">
        <w:t>б) снимать с любых материальных носителей,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p w14:paraId="03B4435E" w14:textId="77777777" w:rsidR="003A4C88" w:rsidRPr="0046565C" w:rsidRDefault="00000000">
      <w:pPr>
        <w:spacing w:before="80"/>
        <w:ind w:firstLine="709"/>
        <w:jc w:val="both"/>
      </w:pPr>
      <w:r w:rsidRPr="0046565C">
        <w:t>3.6. Все материальные носители, представленные Раскрывающей стороной Принимающей стороне в соответствии с настоящим Соглашением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p w14:paraId="35890F9E" w14:textId="77777777" w:rsidR="003A4C88" w:rsidRPr="0046565C" w:rsidRDefault="00000000">
      <w:pPr>
        <w:ind w:firstLine="709"/>
        <w:jc w:val="both"/>
      </w:pPr>
      <w:r w:rsidRPr="0046565C">
        <w:t xml:space="preserve">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 </w:t>
      </w:r>
    </w:p>
    <w:p w14:paraId="6628E927" w14:textId="77777777" w:rsidR="003A4C88" w:rsidRPr="0046565C" w:rsidRDefault="00000000">
      <w:pPr>
        <w:keepNext/>
        <w:pBdr>
          <w:top w:val="nil"/>
          <w:left w:val="nil"/>
          <w:bottom w:val="nil"/>
          <w:right w:val="nil"/>
          <w:between w:val="nil"/>
        </w:pBdr>
        <w:spacing w:before="240"/>
        <w:ind w:firstLine="709"/>
        <w:jc w:val="both"/>
        <w:rPr>
          <w:color w:val="000000"/>
        </w:rPr>
      </w:pPr>
      <w:r w:rsidRPr="0046565C">
        <w:rPr>
          <w:color w:val="000000"/>
        </w:rPr>
        <w:t xml:space="preserve">4. ПОРЯДОК ПЕРЕДАЧИ КОНФИДЕНЦИАЛЬНОЙ ИНФОРМАЦИИ. </w:t>
      </w:r>
    </w:p>
    <w:p w14:paraId="4A856551"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4.1. Передача конфиденциальной корреспонденции на бумажных и электронных носителях (дискетах, компакт-дисках и т.п.) осуществляется любым из следующих способов:</w:t>
      </w:r>
    </w:p>
    <w:p w14:paraId="7A8CC0B2"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4.1.1. Пересылка заказной почтой в порядке, установленном у Раскрывающей и Принимающей Сторон соответственно.</w:t>
      </w:r>
    </w:p>
    <w:p w14:paraId="04C95891"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4.1.2. Через курьеров, либо Представителей Сторон.</w:t>
      </w:r>
    </w:p>
    <w:p w14:paraId="3B57555E"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4.2. Пересылка между Сторонами корреспонденции (информации) в электронном виде (кроме информации, содержащей коммерческую тайну, и иных конфиденциальных сведений) может осуществляться средствами электронной почты, по взаимному согласованию сторон.</w:t>
      </w:r>
    </w:p>
    <w:p w14:paraId="2072D4D0" w14:textId="7053E003" w:rsidR="003A4C88" w:rsidRPr="0069083A" w:rsidRDefault="00000000">
      <w:pPr>
        <w:pBdr>
          <w:top w:val="nil"/>
          <w:left w:val="nil"/>
          <w:bottom w:val="nil"/>
          <w:right w:val="nil"/>
          <w:between w:val="nil"/>
        </w:pBdr>
        <w:spacing w:before="80"/>
        <w:ind w:firstLine="709"/>
        <w:jc w:val="both"/>
        <w:rPr>
          <w:color w:val="000000"/>
        </w:rPr>
      </w:pPr>
      <w:r w:rsidRPr="0046565C">
        <w:rPr>
          <w:color w:val="000000"/>
        </w:rPr>
        <w:t>4.3. Пересылка корреспонденции с Конфиденциальной информацией с использованием средств электронной почты и/или факсимильной связи допускается только по защищенным криптографическими средствами каналам связи</w:t>
      </w:r>
      <w:r w:rsidR="0069083A" w:rsidRPr="0069083A">
        <w:rPr>
          <w:rFonts w:eastAsia="Arial"/>
          <w:color w:val="000000"/>
        </w:rPr>
        <w:t>.</w:t>
      </w:r>
    </w:p>
    <w:p w14:paraId="705AE4FC"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(дискетах, компакт-дисках и т.п.), в документах и рабочих материалах, отправляемых в электронном виде, в сообщениях электронной почты (в т.ч. во вложенных файлах).</w:t>
      </w:r>
    </w:p>
    <w:p w14:paraId="6A0F84F1" w14:textId="77777777" w:rsidR="003A4C88" w:rsidRPr="0046565C" w:rsidRDefault="00000000">
      <w:pPr>
        <w:pBdr>
          <w:top w:val="nil"/>
          <w:left w:val="nil"/>
          <w:bottom w:val="nil"/>
          <w:right w:val="nil"/>
          <w:between w:val="nil"/>
        </w:pBdr>
        <w:spacing w:before="80"/>
        <w:ind w:firstLine="709"/>
        <w:jc w:val="both"/>
        <w:rPr>
          <w:color w:val="000000"/>
        </w:rPr>
      </w:pPr>
      <w:r w:rsidRPr="0046565C">
        <w:rPr>
          <w:color w:val="000000"/>
        </w:rPr>
        <w:t>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p w14:paraId="706BF2E1" w14:textId="77777777" w:rsidR="003A4C88" w:rsidRPr="0046565C" w:rsidRDefault="00000000">
      <w:pPr>
        <w:keepNext/>
        <w:spacing w:before="240"/>
        <w:ind w:firstLine="709"/>
        <w:jc w:val="both"/>
      </w:pPr>
      <w:r w:rsidRPr="0046565C">
        <w:t>5. ОТВЕТСТВЕННОСТЬ СТОРОН.</w:t>
      </w:r>
    </w:p>
    <w:p w14:paraId="7851A010" w14:textId="77777777" w:rsidR="003A4C88" w:rsidRPr="0046565C" w:rsidRDefault="00000000">
      <w:pPr>
        <w:spacing w:before="120"/>
        <w:ind w:firstLine="709"/>
        <w:jc w:val="both"/>
      </w:pPr>
      <w:r w:rsidRPr="0046565C">
        <w:t>5.1. Принимающая сторона несет ответственность за действия всех своих сотрудников, приведшие к разглашению Конфиденциальной информации любой третьей стороне.</w:t>
      </w:r>
    </w:p>
    <w:p w14:paraId="6E768F9A" w14:textId="77777777" w:rsidR="003A4C88" w:rsidRPr="0046565C" w:rsidRDefault="00000000">
      <w:pPr>
        <w:tabs>
          <w:tab w:val="left" w:pos="1134"/>
        </w:tabs>
        <w:spacing w:before="120"/>
        <w:ind w:firstLine="709"/>
        <w:jc w:val="both"/>
      </w:pPr>
      <w:r w:rsidRPr="0046565C">
        <w:t>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Принимающая сторона обязана возместить Раскрывающей стороне причиненные убытки в полном объеме.</w:t>
      </w:r>
    </w:p>
    <w:p w14:paraId="557008A5" w14:textId="77777777" w:rsidR="003A4C88" w:rsidRPr="0046565C" w:rsidRDefault="00000000">
      <w:pPr>
        <w:keepNext/>
        <w:spacing w:before="240"/>
        <w:ind w:firstLine="709"/>
        <w:jc w:val="both"/>
      </w:pPr>
      <w:r w:rsidRPr="0046565C">
        <w:lastRenderedPageBreak/>
        <w:t>6. ФОРС-МАЖОРНЫЕ ОБСТОЯТЕЛЬСТВА.</w:t>
      </w:r>
    </w:p>
    <w:p w14:paraId="46088BF7" w14:textId="77777777" w:rsidR="003A4C88" w:rsidRPr="0046565C" w:rsidRDefault="00000000">
      <w:pPr>
        <w:spacing w:before="120"/>
        <w:ind w:firstLine="709"/>
        <w:jc w:val="both"/>
      </w:pPr>
      <w:r w:rsidRPr="0046565C">
        <w:t>6.1.</w:t>
      </w:r>
      <w:r w:rsidRPr="0046565C">
        <w:tab/>
        <w:t>Стороны освобождаются от ответственности за полное или частичное неисполнение обязательств по настоящему Соглашению, если указанное неисполнение обязательств явилось следствием действия форс-мажорных обстоятельств (обстоятельств непреодолимой силы).</w:t>
      </w:r>
    </w:p>
    <w:p w14:paraId="50EE5D65" w14:textId="77777777" w:rsidR="003A4C88" w:rsidRPr="0046565C" w:rsidRDefault="00000000">
      <w:pPr>
        <w:spacing w:before="120"/>
        <w:ind w:firstLine="709"/>
        <w:jc w:val="both"/>
      </w:pPr>
      <w:r w:rsidRPr="0046565C">
        <w:t>6.2.</w:t>
      </w:r>
      <w:r w:rsidRPr="0046565C">
        <w:tab/>
        <w:t xml:space="preserve">Под обстоятельствами непреодолимой силы понимаются обстоятельства, которые возникли после заключения настоящего Соглашения в результате непреодолимых и необратимых для Сторон событий, как-то: наводнения, пожара, землетрясения и других стихийных бедствий, войны и военных действий, а также издания федеральными органами государственной власти актов, делающих невозможным исполнение обязательств по настоящему Соглашению, и иных непредотвратимых и не зависящих от воли Сторон обстоятельств. </w:t>
      </w:r>
    </w:p>
    <w:p w14:paraId="6381BD49" w14:textId="77777777" w:rsidR="003A4C88" w:rsidRPr="0046565C" w:rsidRDefault="00000000">
      <w:pPr>
        <w:spacing w:before="120"/>
        <w:ind w:firstLine="709"/>
        <w:jc w:val="both"/>
      </w:pPr>
      <w:r w:rsidRPr="0046565C">
        <w:t>6.3.</w:t>
      </w:r>
      <w:r w:rsidRPr="0046565C">
        <w:tab/>
        <w:t>Сторона, для которой создалась ситуация невозможности выполнения обязательств по Соглашению, должна в возможно короткие сроки направить другой Стороне любым доступным способом уведомление о наступлении ожидаемой продолжительности действия обстоятельств, препятствующих выполнению обязательств, а также предоставить доказательства их наступления, которыми могут служить документы, оформленные соответствующим компетентным органом.</w:t>
      </w:r>
    </w:p>
    <w:p w14:paraId="0347924F" w14:textId="77777777" w:rsidR="003A4C88" w:rsidRPr="0046565C" w:rsidRDefault="00000000">
      <w:pPr>
        <w:keepNext/>
        <w:spacing w:before="240"/>
        <w:ind w:firstLine="709"/>
        <w:jc w:val="both"/>
      </w:pPr>
      <w:r w:rsidRPr="0046565C">
        <w:t>7. ПОРЯДОК РАЗРЕШЕНИЯ СПОРОВ.</w:t>
      </w:r>
    </w:p>
    <w:p w14:paraId="6BC48CAE" w14:textId="77777777" w:rsidR="003A4C88" w:rsidRPr="0046565C" w:rsidRDefault="00000000">
      <w:pPr>
        <w:spacing w:before="120"/>
        <w:ind w:firstLine="709"/>
        <w:jc w:val="both"/>
      </w:pPr>
      <w:r w:rsidRPr="0046565C">
        <w:t>7.1. Стороны при урегулировании разногласий, споров, противоречий, которые могут возникнуть между ними в отношении или в связи с неисполнением, нарушением данного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6E55E0F4" w14:textId="77777777" w:rsidR="003A4C88" w:rsidRPr="0046565C" w:rsidRDefault="00000000">
      <w:pPr>
        <w:spacing w:before="120"/>
        <w:ind w:firstLine="709"/>
        <w:jc w:val="both"/>
      </w:pPr>
      <w:r w:rsidRPr="0046565C">
        <w:t>7.2. При невозможности разрешения разногласий в порядке досудебного урегулирования в претензионном порядке спор передается на рассмотрение Арбитражного суда города Москвы.</w:t>
      </w:r>
    </w:p>
    <w:p w14:paraId="6FA3D737" w14:textId="77777777" w:rsidR="003A4C88" w:rsidRPr="0046565C" w:rsidRDefault="00000000">
      <w:pPr>
        <w:keepNext/>
        <w:spacing w:before="240"/>
        <w:ind w:firstLine="709"/>
        <w:jc w:val="both"/>
      </w:pPr>
      <w:r w:rsidRPr="0046565C">
        <w:t>8. ПРОЧИЕ УСЛОВИЯ И СРОК ДЕЙСТВИЯ СОГЛАШЕНИЯ.</w:t>
      </w:r>
    </w:p>
    <w:p w14:paraId="7B844C71" w14:textId="77777777" w:rsidR="003A4C88" w:rsidRPr="0046565C" w:rsidRDefault="00000000">
      <w:pPr>
        <w:spacing w:before="80"/>
        <w:ind w:firstLine="709"/>
        <w:jc w:val="both"/>
      </w:pPr>
      <w:r w:rsidRPr="0046565C">
        <w:t xml:space="preserve">8.1. Настоящее Соглашение составлено в двух экземплярах, имеющих равную юридическую силу, вступает в силу с даты его подписания Сторонами и действует до окончания срока действия любых договоров, заключенных между Сторонами, в рамках которых Принимающая сторона должна получить или получила доступ к Конфиденциальной информации. </w:t>
      </w:r>
    </w:p>
    <w:p w14:paraId="1D7587CF" w14:textId="77777777" w:rsidR="003A4C88" w:rsidRPr="0046565C" w:rsidRDefault="00000000">
      <w:pPr>
        <w:spacing w:before="80"/>
        <w:ind w:firstLine="709"/>
        <w:jc w:val="both"/>
      </w:pPr>
      <w:r w:rsidRPr="0046565C">
        <w:t>8.2.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данным Соглашением.</w:t>
      </w:r>
    </w:p>
    <w:p w14:paraId="40E7D44F" w14:textId="77777777" w:rsidR="003A4C88" w:rsidRPr="0046565C" w:rsidRDefault="00000000">
      <w:pPr>
        <w:spacing w:before="80"/>
        <w:ind w:firstLine="709"/>
        <w:jc w:val="both"/>
      </w:pPr>
      <w:r w:rsidRPr="0046565C">
        <w:t>8.3. Поправки и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p w14:paraId="18C8B8D0" w14:textId="77777777" w:rsidR="003A4C88" w:rsidRPr="0046565C" w:rsidRDefault="00000000">
      <w:pPr>
        <w:spacing w:before="120"/>
        <w:ind w:firstLine="709"/>
        <w:jc w:val="both"/>
      </w:pPr>
      <w:r w:rsidRPr="0046565C">
        <w:t>8.4 Отношения Сторон в части обмена и защиты предоставляемой информации, не оговоренные прямо в настоящем Соглашении, регулируются законодательством Российской Федерации в сфере защиты информации.</w:t>
      </w:r>
    </w:p>
    <w:p w14:paraId="20E06DDB" w14:textId="057C034D" w:rsidR="003A4C88" w:rsidRPr="0046565C" w:rsidRDefault="00000000">
      <w:pPr>
        <w:spacing w:before="240"/>
        <w:ind w:firstLine="709"/>
        <w:jc w:val="both"/>
      </w:pPr>
      <w:r w:rsidRPr="0046565C">
        <w:t>9. АДРЕСА И РЕКВИЗИТЫ СТОРОН.</w:t>
      </w:r>
    </w:p>
    <w:tbl>
      <w:tblPr>
        <w:tblStyle w:val="a5"/>
        <w:tblW w:w="10936" w:type="dxa"/>
        <w:tblInd w:w="142" w:type="dxa"/>
        <w:tblLook w:val="04A0" w:firstRow="1" w:lastRow="0" w:firstColumn="1" w:lastColumn="0" w:noHBand="0" w:noVBand="1"/>
      </w:tblPr>
      <w:tblGrid>
        <w:gridCol w:w="5409"/>
        <w:gridCol w:w="5527"/>
      </w:tblGrid>
      <w:tr w:rsidR="0046565C" w:rsidRPr="0046565C" w14:paraId="5739CF83" w14:textId="77777777" w:rsidTr="00B862D8">
        <w:tc>
          <w:tcPr>
            <w:tcW w:w="5409" w:type="dxa"/>
          </w:tcPr>
          <w:p w14:paraId="242CAFF7" w14:textId="53FE8C5E" w:rsidR="0046565C" w:rsidRPr="00164DAD" w:rsidRDefault="00B862D8" w:rsidP="00B862D8">
            <w:pPr>
              <w:rPr>
                <w:rFonts w:eastAsia="Calibri"/>
                <w:b/>
                <w:lang w:val="en-US"/>
              </w:rPr>
            </w:pPr>
            <w:r>
              <w:rPr>
                <w:rFonts w:eastAsia="Calibri"/>
                <w:b/>
              </w:rPr>
              <w:t>Раскрывающая сторона</w:t>
            </w:r>
          </w:p>
        </w:tc>
        <w:tc>
          <w:tcPr>
            <w:tcW w:w="5527" w:type="dxa"/>
          </w:tcPr>
          <w:p w14:paraId="61676926" w14:textId="09059E7E" w:rsidR="0046565C" w:rsidRPr="0046565C" w:rsidRDefault="00B862D8" w:rsidP="00B854F8">
            <w:pPr>
              <w:jc w:val="center"/>
              <w:rPr>
                <w:rFonts w:eastAsia="Calibri"/>
                <w:b/>
              </w:rPr>
            </w:pPr>
            <w:r>
              <w:rPr>
                <w:rFonts w:eastAsia="Calibri"/>
                <w:b/>
              </w:rPr>
              <w:t>Принимающая сторона</w:t>
            </w:r>
          </w:p>
        </w:tc>
      </w:tr>
      <w:tr w:rsidR="0046565C" w:rsidRPr="0046565C" w14:paraId="72C4109B" w14:textId="77777777" w:rsidTr="00B862D8">
        <w:tc>
          <w:tcPr>
            <w:tcW w:w="5409" w:type="dxa"/>
          </w:tcPr>
          <w:p w14:paraId="5FDAC654" w14:textId="77777777" w:rsidR="0046565C" w:rsidRPr="0046565C" w:rsidRDefault="0046565C" w:rsidP="00B854F8">
            <w:pPr>
              <w:rPr>
                <w:rFonts w:eastAsia="Calibri"/>
                <w:bCs/>
              </w:rPr>
            </w:pPr>
            <w:r w:rsidRPr="0046565C">
              <w:rPr>
                <w:rFonts w:eastAsia="Calibri"/>
                <w:bCs/>
              </w:rPr>
              <w:t>Акционерное общество «ГенТерра»</w:t>
            </w:r>
          </w:p>
          <w:p w14:paraId="66F77A60" w14:textId="77777777" w:rsidR="0046565C" w:rsidRPr="0046565C" w:rsidRDefault="0046565C" w:rsidP="00B854F8">
            <w:pPr>
              <w:rPr>
                <w:rFonts w:eastAsia="Calibri"/>
                <w:bCs/>
              </w:rPr>
            </w:pPr>
            <w:r w:rsidRPr="0046565C">
              <w:rPr>
                <w:rFonts w:eastAsia="Calibri"/>
                <w:bCs/>
              </w:rPr>
              <w:t>Юридический адрес: 129085, г. Москва, ул. Годовикова, д.9, стр. 1, этаж 1, Подъезд 1 помещение 1.12, комн. 1.12.1</w:t>
            </w:r>
          </w:p>
          <w:p w14:paraId="167A846F" w14:textId="5190F944" w:rsidR="0046565C" w:rsidRPr="0046565C" w:rsidRDefault="0046565C" w:rsidP="00B854F8">
            <w:pPr>
              <w:rPr>
                <w:rFonts w:eastAsia="Calibri"/>
                <w:bCs/>
              </w:rPr>
            </w:pPr>
            <w:r w:rsidRPr="0046565C">
              <w:rPr>
                <w:rFonts w:eastAsia="Calibri"/>
                <w:bCs/>
              </w:rPr>
              <w:t>ОГРН 5147746342882</w:t>
            </w:r>
            <w:r w:rsidR="0069083A" w:rsidRPr="00164DAD">
              <w:rPr>
                <w:rFonts w:eastAsia="Calibri"/>
                <w:bCs/>
              </w:rPr>
              <w:t xml:space="preserve"> </w:t>
            </w:r>
            <w:r w:rsidRPr="0046565C">
              <w:rPr>
                <w:rFonts w:eastAsia="Calibri"/>
                <w:bCs/>
              </w:rPr>
              <w:t>ИНН/КПП 7728896265/771701001</w:t>
            </w:r>
          </w:p>
          <w:p w14:paraId="75375736" w14:textId="77777777" w:rsidR="0046565C" w:rsidRPr="0046565C" w:rsidRDefault="0046565C" w:rsidP="00B854F8">
            <w:pPr>
              <w:rPr>
                <w:rFonts w:eastAsia="Calibri"/>
                <w:bCs/>
              </w:rPr>
            </w:pPr>
            <w:r w:rsidRPr="0046565C">
              <w:rPr>
                <w:rFonts w:eastAsia="Calibri"/>
                <w:bCs/>
              </w:rPr>
              <w:t>ОКПО 40158857</w:t>
            </w:r>
          </w:p>
          <w:p w14:paraId="671997FE" w14:textId="77777777" w:rsidR="0046565C" w:rsidRPr="0046565C" w:rsidRDefault="0046565C" w:rsidP="00B854F8">
            <w:pPr>
              <w:rPr>
                <w:rFonts w:eastAsia="Calibri"/>
                <w:bCs/>
              </w:rPr>
            </w:pPr>
            <w:r w:rsidRPr="0046565C">
              <w:rPr>
                <w:rFonts w:eastAsia="Calibri"/>
                <w:bCs/>
              </w:rPr>
              <w:t xml:space="preserve">Р/с </w:t>
            </w:r>
            <w:r w:rsidRPr="0046565C">
              <w:rPr>
                <w:rFonts w:eastAsia="Calibri"/>
              </w:rPr>
              <w:t>40702810800000000843</w:t>
            </w:r>
          </w:p>
          <w:p w14:paraId="5BE8E255" w14:textId="77777777" w:rsidR="0046565C" w:rsidRPr="0046565C" w:rsidRDefault="0046565C" w:rsidP="00B854F8">
            <w:pPr>
              <w:rPr>
                <w:rFonts w:eastAsia="Calibri"/>
                <w:bCs/>
              </w:rPr>
            </w:pPr>
            <w:r w:rsidRPr="0046565C">
              <w:rPr>
                <w:rFonts w:eastAsia="Calibri"/>
                <w:bCs/>
              </w:rPr>
              <w:t>В АО «РАЙФФАЙЗЕНБАНК» Г.МОСКВА,</w:t>
            </w:r>
          </w:p>
          <w:p w14:paraId="7A060B00" w14:textId="4C059FC0" w:rsidR="0046565C" w:rsidRPr="0046565C" w:rsidRDefault="0046565C" w:rsidP="00B854F8">
            <w:pPr>
              <w:rPr>
                <w:rFonts w:eastAsia="Calibri"/>
                <w:bCs/>
              </w:rPr>
            </w:pPr>
            <w:r w:rsidRPr="0046565C">
              <w:rPr>
                <w:rFonts w:eastAsia="Calibri"/>
                <w:bCs/>
              </w:rPr>
              <w:t>к/с 30101810200000000700</w:t>
            </w:r>
            <w:r w:rsidRPr="00164DAD">
              <w:rPr>
                <w:rFonts w:eastAsia="Calibri"/>
                <w:bCs/>
              </w:rPr>
              <w:t xml:space="preserve"> </w:t>
            </w:r>
            <w:r w:rsidRPr="0046565C">
              <w:rPr>
                <w:rFonts w:eastAsia="Calibri"/>
                <w:bCs/>
              </w:rPr>
              <w:t>БИК 044525700</w:t>
            </w:r>
          </w:p>
          <w:p w14:paraId="54E0EC3F" w14:textId="77777777" w:rsidR="0046565C" w:rsidRPr="0046565C" w:rsidRDefault="0046565C" w:rsidP="00B854F8">
            <w:pPr>
              <w:rPr>
                <w:rFonts w:eastAsia="Calibri"/>
                <w:bCs/>
              </w:rPr>
            </w:pPr>
            <w:r w:rsidRPr="0046565C">
              <w:rPr>
                <w:rFonts w:eastAsia="Calibri"/>
                <w:bCs/>
              </w:rPr>
              <w:t>Тел. +7 495 721-29-70</w:t>
            </w:r>
          </w:p>
          <w:p w14:paraId="53D4006E" w14:textId="77777777" w:rsidR="0046565C" w:rsidRPr="0046565C" w:rsidRDefault="0046565C" w:rsidP="00B854F8">
            <w:pPr>
              <w:rPr>
                <w:rFonts w:eastAsia="Calibri"/>
                <w:bCs/>
              </w:rPr>
            </w:pPr>
            <w:r w:rsidRPr="0046565C">
              <w:rPr>
                <w:rFonts w:eastAsia="Calibri"/>
                <w:bCs/>
                <w:lang w:val="en-US"/>
              </w:rPr>
              <w:t>e</w:t>
            </w:r>
            <w:r w:rsidRPr="0046565C">
              <w:rPr>
                <w:rFonts w:eastAsia="Calibri"/>
                <w:bCs/>
              </w:rPr>
              <w:t>-</w:t>
            </w:r>
            <w:r w:rsidRPr="0046565C">
              <w:rPr>
                <w:rFonts w:eastAsia="Calibri"/>
                <w:bCs/>
                <w:lang w:val="en-US"/>
              </w:rPr>
              <w:t>mail</w:t>
            </w:r>
            <w:r w:rsidRPr="0046565C">
              <w:rPr>
                <w:rFonts w:eastAsia="Calibri"/>
                <w:bCs/>
              </w:rPr>
              <w:t xml:space="preserve">: </w:t>
            </w:r>
            <w:r w:rsidRPr="0046565C">
              <w:rPr>
                <w:rFonts w:eastAsia="Calibri"/>
                <w:bCs/>
                <w:lang w:val="en-US"/>
              </w:rPr>
              <w:t>info</w:t>
            </w:r>
            <w:r w:rsidRPr="0046565C">
              <w:rPr>
                <w:rFonts w:eastAsia="Calibri"/>
                <w:bCs/>
              </w:rPr>
              <w:t>@</w:t>
            </w:r>
            <w:r w:rsidRPr="0046565C">
              <w:rPr>
                <w:rFonts w:eastAsia="Calibri"/>
                <w:bCs/>
                <w:lang w:val="en-US"/>
              </w:rPr>
              <w:t>genterra</w:t>
            </w:r>
            <w:r w:rsidRPr="0046565C">
              <w:rPr>
                <w:rFonts w:eastAsia="Calibri"/>
                <w:bCs/>
              </w:rPr>
              <w:t>.</w:t>
            </w:r>
            <w:r w:rsidRPr="0046565C">
              <w:rPr>
                <w:rFonts w:eastAsia="Calibri"/>
                <w:bCs/>
                <w:lang w:val="en-US"/>
              </w:rPr>
              <w:t>ru</w:t>
            </w:r>
          </w:p>
          <w:p w14:paraId="4CD65C33" w14:textId="77777777" w:rsidR="0046565C" w:rsidRPr="0046565C" w:rsidRDefault="0046565C" w:rsidP="00B854F8">
            <w:pPr>
              <w:rPr>
                <w:rFonts w:eastAsia="Calibri"/>
                <w:bCs/>
              </w:rPr>
            </w:pPr>
            <w:r w:rsidRPr="0046565C">
              <w:rPr>
                <w:rFonts w:eastAsia="Calibri"/>
                <w:bCs/>
              </w:rPr>
              <w:t>Генеральный директор</w:t>
            </w:r>
          </w:p>
          <w:p w14:paraId="569BF78D" w14:textId="77777777" w:rsidR="0046565C" w:rsidRPr="0046565C" w:rsidRDefault="0046565C" w:rsidP="00B854F8">
            <w:pPr>
              <w:rPr>
                <w:rFonts w:eastAsia="Calibri"/>
                <w:bCs/>
              </w:rPr>
            </w:pPr>
            <w:r w:rsidRPr="0046565C">
              <w:rPr>
                <w:rFonts w:eastAsia="Calibri"/>
                <w:bCs/>
              </w:rPr>
              <w:t xml:space="preserve">Середа К.Н.        ________________ </w:t>
            </w:r>
          </w:p>
        </w:tc>
        <w:tc>
          <w:tcPr>
            <w:tcW w:w="5527" w:type="dxa"/>
          </w:tcPr>
          <w:p w14:paraId="3874D30F" w14:textId="76DB1BB4" w:rsidR="0046565C" w:rsidRPr="0046565C" w:rsidRDefault="00B862D8" w:rsidP="00B854F8">
            <w:pPr>
              <w:suppressAutoHyphens/>
              <w:rPr>
                <w:bCs/>
                <w:lang w:eastAsia="ar-SA"/>
              </w:rPr>
            </w:pPr>
            <w:r>
              <w:rPr>
                <w:bCs/>
                <w:lang w:eastAsia="ar-SA"/>
              </w:rPr>
              <w:t>______________________________</w:t>
            </w:r>
          </w:p>
          <w:p w14:paraId="74D1C36F" w14:textId="39084D46" w:rsidR="0046565C" w:rsidRPr="0046565C" w:rsidRDefault="0046565C" w:rsidP="00B854F8">
            <w:pPr>
              <w:suppressAutoHyphens/>
              <w:rPr>
                <w:bCs/>
                <w:lang w:eastAsia="ar-SA"/>
              </w:rPr>
            </w:pPr>
            <w:r w:rsidRPr="0046565C">
              <w:rPr>
                <w:bCs/>
                <w:lang w:eastAsia="ar-SA"/>
              </w:rPr>
              <w:t>Юридический адрес: </w:t>
            </w:r>
          </w:p>
          <w:p w14:paraId="106755D5" w14:textId="0E8937EC" w:rsidR="0046565C" w:rsidRDefault="0046565C" w:rsidP="00164DAD">
            <w:pPr>
              <w:suppressAutoHyphens/>
              <w:rPr>
                <w:bCs/>
                <w:lang w:eastAsia="ar-SA"/>
              </w:rPr>
            </w:pPr>
            <w:r w:rsidRPr="0046565C">
              <w:rPr>
                <w:bCs/>
                <w:lang w:eastAsia="ar-SA"/>
              </w:rPr>
              <w:t xml:space="preserve">ОГРН </w:t>
            </w:r>
          </w:p>
          <w:p w14:paraId="6B75D2E4" w14:textId="22285B8F" w:rsidR="00B862D8" w:rsidRDefault="00B862D8" w:rsidP="00164DAD">
            <w:pPr>
              <w:suppressAutoHyphens/>
              <w:rPr>
                <w:rFonts w:eastAsia="Calibri"/>
                <w:bCs/>
              </w:rPr>
            </w:pPr>
            <w:r w:rsidRPr="0046565C">
              <w:rPr>
                <w:rFonts w:eastAsia="Calibri"/>
                <w:bCs/>
              </w:rPr>
              <w:t>ИНН/КПП</w:t>
            </w:r>
          </w:p>
          <w:p w14:paraId="65206479" w14:textId="26BB64C7" w:rsidR="00B862D8" w:rsidRDefault="00B862D8" w:rsidP="00164DAD">
            <w:pPr>
              <w:suppressAutoHyphens/>
              <w:rPr>
                <w:rFonts w:eastAsia="Calibri"/>
                <w:bCs/>
              </w:rPr>
            </w:pPr>
            <w:r w:rsidRPr="0046565C">
              <w:rPr>
                <w:rFonts w:eastAsia="Calibri"/>
                <w:bCs/>
              </w:rPr>
              <w:t>ОКПО</w:t>
            </w:r>
          </w:p>
          <w:p w14:paraId="5BC9F76F" w14:textId="6E263C8E" w:rsidR="00B862D8" w:rsidRDefault="00B862D8" w:rsidP="00164DAD">
            <w:pPr>
              <w:suppressAutoHyphens/>
              <w:rPr>
                <w:rFonts w:eastAsia="Calibri"/>
                <w:bCs/>
              </w:rPr>
            </w:pPr>
            <w:r w:rsidRPr="0046565C">
              <w:rPr>
                <w:rFonts w:eastAsia="Calibri"/>
                <w:bCs/>
              </w:rPr>
              <w:t>Р/с</w:t>
            </w:r>
          </w:p>
          <w:p w14:paraId="06B3A722" w14:textId="2A4DD234" w:rsidR="00B862D8" w:rsidRDefault="00B862D8" w:rsidP="00164DAD">
            <w:pPr>
              <w:suppressAutoHyphens/>
              <w:rPr>
                <w:rFonts w:eastAsia="Calibri"/>
                <w:bCs/>
              </w:rPr>
            </w:pPr>
            <w:r>
              <w:rPr>
                <w:rFonts w:eastAsia="Calibri"/>
                <w:bCs/>
              </w:rPr>
              <w:t>Банк:</w:t>
            </w:r>
          </w:p>
          <w:p w14:paraId="61839995" w14:textId="10A7D794" w:rsidR="00B862D8" w:rsidRPr="0046565C" w:rsidRDefault="00B862D8" w:rsidP="00164DAD">
            <w:pPr>
              <w:suppressAutoHyphens/>
              <w:rPr>
                <w:rFonts w:eastAsia="Calibri"/>
                <w:bCs/>
              </w:rPr>
            </w:pPr>
            <w:r w:rsidRPr="0046565C">
              <w:rPr>
                <w:rFonts w:eastAsia="Calibri"/>
                <w:bCs/>
              </w:rPr>
              <w:t>к/с</w:t>
            </w:r>
          </w:p>
          <w:p w14:paraId="67549223" w14:textId="413302C5" w:rsidR="0046565C" w:rsidRPr="0046565C" w:rsidRDefault="0046565C" w:rsidP="00B854F8">
            <w:pPr>
              <w:rPr>
                <w:rFonts w:eastAsia="Calibri"/>
                <w:bCs/>
              </w:rPr>
            </w:pPr>
            <w:r w:rsidRPr="0046565C">
              <w:rPr>
                <w:rFonts w:eastAsia="Calibri"/>
                <w:bCs/>
              </w:rPr>
              <w:t>Тел. +</w:t>
            </w:r>
          </w:p>
          <w:p w14:paraId="327726AD" w14:textId="5CFE1595" w:rsidR="0046565C" w:rsidRPr="0046565C" w:rsidRDefault="0046565C" w:rsidP="00B854F8">
            <w:pPr>
              <w:rPr>
                <w:rFonts w:eastAsia="Calibri"/>
                <w:bCs/>
              </w:rPr>
            </w:pPr>
            <w:r w:rsidRPr="0046565C">
              <w:rPr>
                <w:rFonts w:eastAsia="Calibri"/>
                <w:bCs/>
                <w:lang w:val="en-US"/>
              </w:rPr>
              <w:t>e</w:t>
            </w:r>
            <w:r w:rsidRPr="0046565C">
              <w:rPr>
                <w:rFonts w:eastAsia="Calibri"/>
                <w:bCs/>
              </w:rPr>
              <w:t>-</w:t>
            </w:r>
            <w:r w:rsidRPr="0046565C">
              <w:rPr>
                <w:rFonts w:eastAsia="Calibri"/>
                <w:bCs/>
                <w:lang w:val="en-US"/>
              </w:rPr>
              <w:t>mail</w:t>
            </w:r>
            <w:r w:rsidRPr="0046565C">
              <w:rPr>
                <w:rFonts w:eastAsia="Calibri"/>
                <w:bCs/>
              </w:rPr>
              <w:t xml:space="preserve">: </w:t>
            </w:r>
          </w:p>
          <w:p w14:paraId="3DEF1387" w14:textId="77777777" w:rsidR="0046565C" w:rsidRPr="0046565C" w:rsidRDefault="0046565C" w:rsidP="00B854F8">
            <w:pPr>
              <w:rPr>
                <w:bCs/>
                <w:lang w:eastAsia="ar-SA"/>
              </w:rPr>
            </w:pPr>
            <w:r w:rsidRPr="0046565C">
              <w:rPr>
                <w:bCs/>
                <w:lang w:eastAsia="ar-SA"/>
              </w:rPr>
              <w:t>Генеральный директор</w:t>
            </w:r>
          </w:p>
          <w:p w14:paraId="17CCEBED" w14:textId="1A8EE30D" w:rsidR="0046565C" w:rsidRPr="0046565C" w:rsidRDefault="0046565C" w:rsidP="00B854F8">
            <w:pPr>
              <w:rPr>
                <w:bCs/>
                <w:lang w:eastAsia="ar-SA"/>
              </w:rPr>
            </w:pPr>
            <w:r w:rsidRPr="0046565C">
              <w:rPr>
                <w:bCs/>
                <w:lang w:eastAsia="ar-SA"/>
              </w:rPr>
              <w:t>.  _______________</w:t>
            </w:r>
          </w:p>
          <w:p w14:paraId="2B839A52" w14:textId="77777777" w:rsidR="0046565C" w:rsidRPr="0046565C" w:rsidRDefault="0046565C" w:rsidP="00B854F8">
            <w:pPr>
              <w:rPr>
                <w:rFonts w:eastAsia="Calibri"/>
                <w:bCs/>
              </w:rPr>
            </w:pPr>
          </w:p>
        </w:tc>
      </w:tr>
    </w:tbl>
    <w:p w14:paraId="1ACC9B18" w14:textId="77777777" w:rsidR="003A4C88" w:rsidRPr="0046565C" w:rsidRDefault="003A4C88" w:rsidP="0069083A"/>
    <w:sectPr w:rsidR="003A4C88" w:rsidRPr="0046565C" w:rsidSect="00B862D8">
      <w:footerReference w:type="default" r:id="rId7"/>
      <w:pgSz w:w="11907" w:h="16840"/>
      <w:pgMar w:top="992" w:right="851" w:bottom="851" w:left="993" w:header="680"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412B" w14:textId="77777777" w:rsidR="004E2523" w:rsidRDefault="004E2523">
      <w:r>
        <w:separator/>
      </w:r>
    </w:p>
  </w:endnote>
  <w:endnote w:type="continuationSeparator" w:id="0">
    <w:p w14:paraId="5E0C1739" w14:textId="77777777" w:rsidR="004E2523" w:rsidRDefault="004E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4866" w14:textId="77777777" w:rsidR="003A4C88" w:rsidRDefault="00000000">
    <w:pPr>
      <w:pBdr>
        <w:top w:val="nil"/>
        <w:left w:val="nil"/>
        <w:bottom w:val="nil"/>
        <w:right w:val="nil"/>
        <w:between w:val="nil"/>
      </w:pBdr>
      <w:tabs>
        <w:tab w:val="center" w:pos="4677"/>
        <w:tab w:val="right" w:pos="9355"/>
      </w:tabs>
      <w:jc w:val="right"/>
      <w:rPr>
        <w:color w:val="000000"/>
      </w:rPr>
    </w:pPr>
    <w:r>
      <w:rPr>
        <w:color w:val="000000"/>
      </w:rPr>
      <w:t xml:space="preserve">стр. </w:t>
    </w:r>
    <w:r>
      <w:rPr>
        <w:color w:val="000000"/>
      </w:rPr>
      <w:fldChar w:fldCharType="begin"/>
    </w:r>
    <w:r>
      <w:rPr>
        <w:color w:val="000000"/>
      </w:rPr>
      <w:instrText>PAGE</w:instrText>
    </w:r>
    <w:r>
      <w:rPr>
        <w:color w:val="000000"/>
      </w:rPr>
      <w:fldChar w:fldCharType="separate"/>
    </w:r>
    <w:r w:rsidR="0046565C">
      <w:rPr>
        <w:noProof/>
        <w:color w:val="000000"/>
      </w:rPr>
      <w:t>1</w:t>
    </w:r>
    <w:r>
      <w:rPr>
        <w:color w:val="000000"/>
      </w:rPr>
      <w:fldChar w:fldCharType="end"/>
    </w:r>
    <w:r>
      <w:rPr>
        <w:color w:val="000000"/>
      </w:rPr>
      <w:t xml:space="preserve"> из </w:t>
    </w:r>
    <w:r>
      <w:rPr>
        <w:color w:val="000000"/>
      </w:rPr>
      <w:fldChar w:fldCharType="begin"/>
    </w:r>
    <w:r>
      <w:rPr>
        <w:color w:val="000000"/>
      </w:rPr>
      <w:instrText>NUMPAGES</w:instrText>
    </w:r>
    <w:r>
      <w:rPr>
        <w:color w:val="000000"/>
      </w:rPr>
      <w:fldChar w:fldCharType="separate"/>
    </w:r>
    <w:r w:rsidR="0046565C">
      <w:rPr>
        <w:noProof/>
        <w:color w:val="000000"/>
      </w:rPr>
      <w:t>2</w:t>
    </w:r>
    <w:r>
      <w:rPr>
        <w:color w:val="000000"/>
      </w:rPr>
      <w:fldChar w:fldCharType="end"/>
    </w:r>
    <w:r>
      <w:rPr>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F3D0F" w14:textId="77777777" w:rsidR="004E2523" w:rsidRDefault="004E2523">
      <w:r>
        <w:separator/>
      </w:r>
    </w:p>
  </w:footnote>
  <w:footnote w:type="continuationSeparator" w:id="0">
    <w:p w14:paraId="5056864E" w14:textId="77777777" w:rsidR="004E2523" w:rsidRDefault="004E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D50"/>
    <w:multiLevelType w:val="multilevel"/>
    <w:tmpl w:val="7B9A277A"/>
    <w:lvl w:ilvl="0">
      <w:start w:val="1"/>
      <w:numFmt w:val="decimal"/>
      <w:lvlText w:val="%1."/>
      <w:lvlJc w:val="left"/>
      <w:pPr>
        <w:ind w:left="1069" w:hanging="360"/>
      </w:pPr>
    </w:lvl>
    <w:lvl w:ilvl="1">
      <w:start w:val="1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 w15:restartNumberingAfterBreak="0">
    <w:nsid w:val="4F1C1985"/>
    <w:multiLevelType w:val="multilevel"/>
    <w:tmpl w:val="914C834E"/>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16cid:durableId="1732076279">
    <w:abstractNumId w:val="0"/>
  </w:num>
  <w:num w:numId="2" w16cid:durableId="61194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88"/>
    <w:rsid w:val="00164DAD"/>
    <w:rsid w:val="001E0B7D"/>
    <w:rsid w:val="003A4C88"/>
    <w:rsid w:val="0046565C"/>
    <w:rsid w:val="004E2523"/>
    <w:rsid w:val="0069083A"/>
    <w:rsid w:val="008264C7"/>
    <w:rsid w:val="00924FBB"/>
    <w:rsid w:val="00B862D8"/>
    <w:rsid w:val="00D3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86AF"/>
  <w15:docId w15:val="{1BB88FD8-5CBD-4735-B26B-F6A3A68D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b/>
      <w:sz w:val="24"/>
      <w:szCs w:val="24"/>
    </w:rPr>
  </w:style>
  <w:style w:type="paragraph" w:styleId="2">
    <w:name w:val="heading 2"/>
    <w:basedOn w:val="a"/>
    <w:next w:val="a"/>
    <w:uiPriority w:val="9"/>
    <w:unhideWhenUsed/>
    <w:qFormat/>
    <w:pPr>
      <w:keepNext/>
      <w:spacing w:before="120"/>
      <w:jc w:val="center"/>
      <w:outlineLvl w:val="1"/>
    </w:pPr>
    <w:rPr>
      <w:sz w:val="24"/>
      <w:szCs w:val="24"/>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10">
    <w:name w:val="Сетка таблицы1"/>
    <w:basedOn w:val="a1"/>
    <w:uiPriority w:val="39"/>
    <w:rsid w:val="0046565C"/>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a.pashkov</dc:creator>
  <cp:lastModifiedBy>Камнева Мария</cp:lastModifiedBy>
  <cp:revision>5</cp:revision>
  <dcterms:created xsi:type="dcterms:W3CDTF">2022-10-21T09:09:00Z</dcterms:created>
  <dcterms:modified xsi:type="dcterms:W3CDTF">2023-06-28T14:32:00Z</dcterms:modified>
</cp:coreProperties>
</file>